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spacing w:line="240" w:lineRule="atLeast"/>
        <w:jc w:val="center"/>
        <w:rPr>
          <w:b/>
          <w:sz w:val="22"/>
          <w:szCs w:val="22"/>
          <w:lang w:val="en-US"/>
        </w:rPr>
      </w:pPr>
      <w:r>
        <w:rPr>
          <w:b/>
          <w:sz w:val="22"/>
          <w:szCs w:val="22"/>
          <w:lang w:val="en-US"/>
        </w:rPr>
        <w:t>STATUTORY DECLARATION OF SINGLE PERSON THAT</w:t>
      </w:r>
    </w:p>
    <w:p>
      <w:pPr>
        <w:suppressAutoHyphens/>
        <w:spacing w:line="240" w:lineRule="atLeast"/>
        <w:jc w:val="center"/>
        <w:rPr>
          <w:b/>
          <w:sz w:val="22"/>
          <w:szCs w:val="22"/>
          <w:lang w:val="en-US"/>
        </w:rPr>
      </w:pPr>
      <w:r>
        <w:rPr>
          <w:b/>
          <w:sz w:val="22"/>
          <w:szCs w:val="22"/>
          <w:lang w:val="en-US"/>
        </w:rPr>
        <w:t>PROPERTY IS NOT A FAMILY HOME OR A SHARED HOME</w:t>
      </w:r>
    </w:p>
    <w:p>
      <w:pPr>
        <w:suppressAutoHyphens/>
        <w:spacing w:line="240" w:lineRule="atLeast"/>
        <w:jc w:val="both"/>
        <w:rPr>
          <w:spacing w:val="-4"/>
          <w:sz w:val="22"/>
          <w:szCs w:val="22"/>
          <w:lang w:val="en-US"/>
        </w:rPr>
      </w:pPr>
    </w:p>
    <w:p>
      <w:pPr>
        <w:suppressAutoHyphens/>
        <w:spacing w:line="240" w:lineRule="atLeast"/>
        <w:jc w:val="both"/>
        <w:rPr>
          <w:spacing w:val="-4"/>
          <w:sz w:val="22"/>
          <w:szCs w:val="22"/>
          <w:lang w:val="en-US"/>
        </w:rPr>
      </w:pPr>
    </w:p>
    <w:p>
      <w:pPr>
        <w:suppressAutoHyphens/>
        <w:spacing w:line="360" w:lineRule="atLeast"/>
        <w:jc w:val="both"/>
        <w:rPr>
          <w:spacing w:val="-4"/>
          <w:sz w:val="22"/>
          <w:szCs w:val="22"/>
          <w:lang w:val="en-US"/>
        </w:rPr>
      </w:pPr>
      <w:r>
        <w:rPr>
          <w:spacing w:val="-4"/>
          <w:sz w:val="22"/>
          <w:szCs w:val="22"/>
          <w:lang w:val="en-US"/>
        </w:rPr>
        <w:t>I, [CNT:Name] of [CNT:LinearAddress]</w:t>
      </w:r>
      <w:bookmarkStart w:id="0" w:name="_GoBack"/>
      <w:bookmarkEnd w:id="0"/>
      <w:r>
        <w:rPr>
          <w:spacing w:val="-4"/>
          <w:sz w:val="22"/>
          <w:szCs w:val="22"/>
          <w:lang w:val="en-US"/>
        </w:rPr>
        <w:t xml:space="preserve"> in the County of  </w:t>
      </w:r>
      <w:bookmarkStart w:id="1" w:name="Text1"/>
      <w:r>
        <w:rPr>
          <w:spacing w:val="-4"/>
          <w:sz w:val="22"/>
          <w:szCs w:val="22"/>
          <w:lang w:val="en-US"/>
        </w:rPr>
        <w:fldChar w:fldCharType="begin">
          <w:ffData>
            <w:name w:val="Text1"/>
            <w:enabled/>
            <w:calcOnExit w:val="0"/>
            <w:textInput/>
          </w:ffData>
        </w:fldChar>
      </w:r>
      <w:r>
        <w:rPr>
          <w:spacing w:val="-4"/>
          <w:sz w:val="22"/>
          <w:szCs w:val="22"/>
          <w:lang w:val="en-US"/>
        </w:rPr>
        <w:instrText xml:space="preserve"> FORMTEXT </w:instrText>
      </w:r>
      <w:r>
        <w:rPr>
          <w:spacing w:val="-4"/>
          <w:sz w:val="22"/>
          <w:szCs w:val="22"/>
          <w:lang w:val="en-US"/>
        </w:rPr>
      </w:r>
      <w:r>
        <w:rPr>
          <w:spacing w:val="-4"/>
          <w:sz w:val="22"/>
          <w:szCs w:val="22"/>
          <w:lang w:val="en-US"/>
        </w:rPr>
        <w:fldChar w:fldCharType="separate"/>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spacing w:val="-4"/>
          <w:sz w:val="22"/>
          <w:szCs w:val="22"/>
          <w:lang w:val="en-US"/>
        </w:rPr>
        <w:fldChar w:fldCharType="end"/>
      </w:r>
      <w:bookmarkEnd w:id="1"/>
      <w:r>
        <w:rPr>
          <w:spacing w:val="-4"/>
          <w:sz w:val="22"/>
          <w:szCs w:val="22"/>
          <w:lang w:val="en-US"/>
        </w:rPr>
        <w:t xml:space="preserve"> aged 18 years and upwards SOLEMNLY AND SINCERELY DECLARE as follows:</w:t>
      </w:r>
    </w:p>
    <w:p>
      <w:pPr>
        <w:suppressAutoHyphens/>
        <w:spacing w:line="360" w:lineRule="atLeast"/>
        <w:jc w:val="both"/>
        <w:rPr>
          <w:spacing w:val="-4"/>
          <w:sz w:val="22"/>
          <w:szCs w:val="22"/>
          <w:lang w:val="en-US"/>
        </w:rPr>
      </w:pPr>
    </w:p>
    <w:p>
      <w:pPr>
        <w:spacing w:line="360" w:lineRule="atLeast"/>
        <w:ind w:left="720" w:hanging="720"/>
        <w:rPr>
          <w:spacing w:val="-4"/>
          <w:sz w:val="22"/>
          <w:szCs w:val="22"/>
          <w:lang w:val="en-US"/>
        </w:rPr>
      </w:pPr>
      <w:r>
        <w:rPr>
          <w:b/>
          <w:bCs/>
          <w:spacing w:val="-4"/>
          <w:sz w:val="22"/>
          <w:szCs w:val="22"/>
          <w:lang w:val="en-US"/>
        </w:rPr>
        <w:t>1.</w:t>
      </w:r>
      <w:r>
        <w:rPr>
          <w:spacing w:val="-4"/>
          <w:sz w:val="22"/>
          <w:szCs w:val="22"/>
          <w:lang w:val="en-US"/>
        </w:rPr>
        <w:tab/>
        <w:t>This declaration relates to the property known as [UDF:PropertyDesc]  in the County of  [UDF:PropertyCounty]  (being the property comprised in folio [UDF:u.folio.no]  County [UDF:PropertyCounty]) (hereinafter called “the property”).</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2.1</w:t>
      </w:r>
      <w:r>
        <w:rPr>
          <w:spacing w:val="-4"/>
          <w:sz w:val="22"/>
          <w:szCs w:val="22"/>
          <w:lang w:val="en-US"/>
        </w:rPr>
        <w:tab/>
        <w:t>The property is not a family home within the meaning of that term in the Family Home Protection Act, 1976 as amended by The Family Law Act, 1995.</w:t>
      </w: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2.2</w:t>
      </w:r>
      <w:r>
        <w:rPr>
          <w:b/>
          <w:bCs/>
          <w:spacing w:val="-4"/>
          <w:sz w:val="22"/>
          <w:szCs w:val="22"/>
          <w:lang w:val="en-US"/>
        </w:rPr>
        <w:tab/>
      </w:r>
      <w:r>
        <w:rPr>
          <w:spacing w:val="-4"/>
          <w:sz w:val="22"/>
          <w:szCs w:val="22"/>
          <w:lang w:val="en-US"/>
        </w:rPr>
        <w:t>The property is not a shared home within the meaning of the term “shared home” in Section 27 of the Civil Partnership and Certain Rights and Obligations of Cohabitants Act 2010 (“the 2010 Act”).</w:t>
      </w: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2.3</w:t>
      </w:r>
      <w:r>
        <w:rPr>
          <w:b/>
          <w:bCs/>
          <w:spacing w:val="-4"/>
          <w:sz w:val="22"/>
          <w:szCs w:val="22"/>
          <w:lang w:val="en-US"/>
        </w:rPr>
        <w:tab/>
      </w:r>
      <w:r>
        <w:rPr>
          <w:spacing w:val="-4"/>
          <w:sz w:val="22"/>
          <w:szCs w:val="22"/>
          <w:lang w:val="en-US"/>
        </w:rPr>
        <w:t>No married couple or no civil partner within the meaning of the term “civil partner” in Section 3 of the 2010 Act, or no cohabitant or qualified cohabitant within the meaning of the terms “cohabitant” and “qualified cohabitant” respectively in Section 172 of the 2010 Act  have ordinarily resided therein since I acquired an interest therein.</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b/>
          <w:bCs/>
          <w:spacing w:val="-4"/>
          <w:sz w:val="22"/>
          <w:szCs w:val="22"/>
          <w:u w:val="single"/>
          <w:lang w:val="en-US"/>
        </w:rPr>
      </w:pPr>
      <w:r>
        <w:rPr>
          <w:b/>
          <w:bCs/>
          <w:spacing w:val="-4"/>
          <w:sz w:val="22"/>
          <w:szCs w:val="22"/>
          <w:lang w:val="en-US"/>
        </w:rPr>
        <w:t>3.</w:t>
      </w:r>
      <w:r>
        <w:rPr>
          <w:spacing w:val="-4"/>
          <w:sz w:val="22"/>
          <w:szCs w:val="22"/>
          <w:lang w:val="en-US"/>
        </w:rPr>
        <w:tab/>
      </w:r>
      <w:r>
        <w:rPr>
          <w:bCs/>
          <w:spacing w:val="-4"/>
          <w:sz w:val="22"/>
          <w:szCs w:val="22"/>
          <w:lang w:val="en-US"/>
        </w:rPr>
        <w:t>I am not and never have been married to any person, or entered into a civil partnership with any person, under the law of this or any other jurisdiction, and no proceedings have been instituted or threatened by any person alleging the contrary.</w:t>
      </w:r>
    </w:p>
    <w:p>
      <w:pPr>
        <w:tabs>
          <w:tab w:val="left" w:pos="-720"/>
          <w:tab w:val="left" w:pos="0"/>
        </w:tabs>
        <w:suppressAutoHyphens/>
        <w:spacing w:line="360" w:lineRule="atLeast"/>
        <w:ind w:left="720" w:hanging="720"/>
        <w:jc w:val="both"/>
        <w:rPr>
          <w:spacing w:val="-4"/>
          <w:sz w:val="22"/>
          <w:szCs w:val="22"/>
          <w:lang w:val="en-US"/>
        </w:rPr>
      </w:pPr>
    </w:p>
    <w:p>
      <w:pPr>
        <w:tabs>
          <w:tab w:val="left" w:pos="-720"/>
          <w:tab w:val="left" w:pos="0"/>
        </w:tabs>
        <w:suppressAutoHyphens/>
        <w:spacing w:line="360" w:lineRule="atLeast"/>
        <w:ind w:left="720" w:hanging="720"/>
        <w:jc w:val="both"/>
        <w:rPr>
          <w:bCs/>
          <w:spacing w:val="-4"/>
          <w:sz w:val="22"/>
          <w:szCs w:val="22"/>
          <w:lang w:val="en-US"/>
        </w:rPr>
      </w:pPr>
      <w:r>
        <w:rPr>
          <w:b/>
          <w:spacing w:val="-4"/>
          <w:sz w:val="22"/>
          <w:szCs w:val="22"/>
          <w:lang w:val="en-US"/>
        </w:rPr>
        <w:t>4.</w:t>
      </w:r>
      <w:r>
        <w:rPr>
          <w:spacing w:val="-4"/>
          <w:sz w:val="22"/>
          <w:szCs w:val="22"/>
          <w:lang w:val="en-US"/>
        </w:rPr>
        <w:tab/>
        <w:t>None of the provisions of the Family Law Act, 1981 (hereinafter called “the Act of 1981”) apply to the property because I have not been party to an agreement to marry which has terminated within the past three years, and no proceedings of any kind have been threatened or instituted in relation to the property under any of the provisions of the Act of 1981</w:t>
      </w:r>
      <w:r>
        <w:rPr>
          <w:b/>
          <w:bCs/>
          <w:spacing w:val="-4"/>
          <w:sz w:val="22"/>
          <w:szCs w:val="22"/>
          <w:lang w:val="en-US"/>
        </w:rPr>
        <w:t xml:space="preserve">.  </w:t>
      </w:r>
      <w:r>
        <w:rPr>
          <w:bCs/>
          <w:spacing w:val="-4"/>
          <w:sz w:val="22"/>
          <w:szCs w:val="22"/>
          <w:lang w:val="en-US"/>
        </w:rPr>
        <w:t>None of the provisions of Part 15 of the 2010 Act apply to the property and I am not and never have been a cohabitant or a qualified cohabitant with any other person within the meaning of the terms “cohabitant” and “qualified cohabitant” respectively in Section 172 of the 2010 Act.</w:t>
      </w:r>
    </w:p>
    <w:p>
      <w:pPr>
        <w:tabs>
          <w:tab w:val="left" w:pos="-720"/>
          <w:tab w:val="left" w:pos="0"/>
        </w:tabs>
        <w:suppressAutoHyphens/>
        <w:spacing w:line="360" w:lineRule="atLeast"/>
        <w:ind w:left="720" w:hanging="720"/>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spacing w:val="-4"/>
          <w:sz w:val="22"/>
          <w:szCs w:val="22"/>
          <w:lang w:val="en-US"/>
        </w:rPr>
        <w:t>5.</w:t>
      </w:r>
      <w:r>
        <w:rPr>
          <w:b/>
          <w:spacing w:val="-4"/>
          <w:sz w:val="22"/>
          <w:szCs w:val="22"/>
          <w:lang w:val="en-US"/>
        </w:rPr>
        <w:tab/>
      </w:r>
      <w:r>
        <w:rPr>
          <w:spacing w:val="-4"/>
          <w:sz w:val="22"/>
          <w:szCs w:val="22"/>
          <w:lang w:val="en-US"/>
        </w:rPr>
        <w:t>The property is not subject to any trust, licence, tenancy or proprietary interest in favour of any person or body corporate arising by virtue of any arrangement, agreement or contract entered into by me, or by virtue of any direct or indirect financial or other contribution to the purchase thereof, or by operation of law, or otherwise, and the property is held free from encumbrances.</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6.</w:t>
      </w:r>
      <w:r>
        <w:rPr>
          <w:spacing w:val="-4"/>
          <w:sz w:val="22"/>
          <w:szCs w:val="22"/>
          <w:lang w:val="en-US"/>
        </w:rPr>
        <w:tab/>
        <w:t>I understand the effect and import of this declaration which has been fully explained to me by my solicitor.</w:t>
      </w:r>
    </w:p>
    <w:p>
      <w:pPr>
        <w:tabs>
          <w:tab w:val="left" w:pos="-720"/>
          <w:tab w:val="left" w:pos="0"/>
        </w:tabs>
        <w:suppressAutoHyphens/>
        <w:spacing w:line="360" w:lineRule="atLeast"/>
        <w:ind w:left="720" w:hanging="720"/>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7.</w:t>
      </w:r>
      <w:r>
        <w:rPr>
          <w:spacing w:val="-4"/>
          <w:sz w:val="22"/>
          <w:szCs w:val="22"/>
          <w:lang w:val="en-US"/>
        </w:rPr>
        <w:tab/>
        <w:t>I make this solemn declaration conscientiously believing it to be true for the satisfaction of [CAN:Name.Purchaser#@&amp;] and pursuant to the provisions of the Statutory Declarations Act, 1938.</w:t>
      </w:r>
    </w:p>
    <w:p>
      <w:pPr>
        <w:tabs>
          <w:tab w:val="left" w:pos="-720"/>
        </w:tabs>
        <w:suppressAutoHyphens/>
        <w:spacing w:line="360" w:lineRule="atLeast"/>
        <w:jc w:val="both"/>
        <w:rPr>
          <w:spacing w:val="-4"/>
          <w:sz w:val="22"/>
          <w:szCs w:val="22"/>
          <w:lang w:val="en-US"/>
        </w:rPr>
      </w:pPr>
    </w:p>
    <w:p>
      <w:pPr>
        <w:tabs>
          <w:tab w:val="left" w:pos="-720"/>
        </w:tabs>
        <w:suppressAutoHyphens/>
        <w:ind w:left="4253"/>
        <w:jc w:val="both"/>
        <w:outlineLvl w:val="0"/>
        <w:rPr>
          <w:b/>
          <w:spacing w:val="-3"/>
        </w:rPr>
      </w:pPr>
      <w:r>
        <w:rPr>
          <w:b/>
          <w:spacing w:val="-3"/>
        </w:rPr>
        <w:t>DECLARED</w:t>
      </w:r>
      <w:r>
        <w:rPr>
          <w:spacing w:val="-3"/>
        </w:rPr>
        <w:t xml:space="preserve"> by the said</w:t>
      </w:r>
    </w:p>
    <w:p>
      <w:pPr>
        <w:tabs>
          <w:tab w:val="left" w:pos="-720"/>
        </w:tabs>
        <w:suppressAutoHyphens/>
        <w:ind w:left="4253"/>
        <w:jc w:val="both"/>
        <w:rPr>
          <w:b/>
          <w:spacing w:val="-3"/>
        </w:rPr>
      </w:pPr>
      <w:r>
        <w:rPr>
          <w:b/>
          <w:spacing w:val="-3"/>
        </w:rPr>
        <w:t>[CNT:Name]</w:t>
      </w:r>
    </w:p>
    <w:p>
      <w:pPr>
        <w:tabs>
          <w:tab w:val="left" w:pos="-720"/>
        </w:tabs>
        <w:suppressAutoHyphens/>
        <w:ind w:left="4253"/>
        <w:jc w:val="both"/>
        <w:rPr>
          <w:spacing w:val="-3"/>
        </w:rPr>
      </w:pPr>
      <w:r>
        <w:rPr>
          <w:spacing w:val="-3"/>
        </w:rPr>
        <w:t>who are personally known to me</w:t>
      </w:r>
    </w:p>
    <w:p>
      <w:pPr>
        <w:tabs>
          <w:tab w:val="left" w:pos="-720"/>
        </w:tabs>
        <w:suppressAutoHyphens/>
        <w:ind w:left="4253"/>
        <w:jc w:val="both"/>
        <w:rPr>
          <w:spacing w:val="-3"/>
        </w:rPr>
      </w:pPr>
      <w:r>
        <w:rPr>
          <w:spacing w:val="-3"/>
        </w:rPr>
        <w:t>at</w:t>
      </w:r>
    </w:p>
    <w:p>
      <w:pPr>
        <w:tabs>
          <w:tab w:val="left" w:pos="-720"/>
        </w:tabs>
        <w:suppressAutoHyphens/>
        <w:ind w:left="4253"/>
        <w:jc w:val="both"/>
        <w:rPr>
          <w:spacing w:val="-3"/>
        </w:rPr>
      </w:pPr>
      <w:r>
        <w:rPr>
          <w:spacing w:val="-3"/>
        </w:rPr>
        <w:t>in the County of</w:t>
      </w:r>
    </w:p>
    <w:p>
      <w:pPr>
        <w:tabs>
          <w:tab w:val="left" w:pos="-720"/>
        </w:tabs>
        <w:suppressAutoHyphens/>
        <w:ind w:left="4253"/>
        <w:jc w:val="both"/>
        <w:rPr>
          <w:spacing w:val="-3"/>
        </w:rPr>
      </w:pPr>
      <w:r>
        <w:rPr>
          <w:spacing w:val="-3"/>
        </w:rPr>
        <w:t xml:space="preserve">this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w:t>
      </w:r>
      <w:r>
        <w:rPr>
          <w:spacing w:val="-3"/>
        </w:rPr>
        <w:t xml:space="preserve"> [DIA:ThisYear]</w:t>
      </w:r>
    </w:p>
    <w:p>
      <w:pPr>
        <w:tabs>
          <w:tab w:val="left" w:pos="-720"/>
        </w:tabs>
        <w:suppressAutoHyphens/>
        <w:ind w:left="4253"/>
        <w:jc w:val="both"/>
        <w:rPr>
          <w:spacing w:val="-3"/>
        </w:rPr>
      </w:pPr>
      <w:r>
        <w:rPr>
          <w:spacing w:val="-3"/>
        </w:rPr>
        <w:t>before me a Commissioner for Oaths/Practising Solicitor and I know the Declarants.</w:t>
      </w:r>
    </w:p>
    <w:p>
      <w:pPr>
        <w:tabs>
          <w:tab w:val="left" w:pos="-720"/>
        </w:tabs>
        <w:suppressAutoHyphens/>
        <w:ind w:left="4253"/>
        <w:jc w:val="both"/>
        <w:rPr>
          <w:spacing w:val="-3"/>
        </w:rPr>
      </w:pPr>
    </w:p>
    <w:p>
      <w:pPr>
        <w:tabs>
          <w:tab w:val="left" w:pos="-720"/>
        </w:tabs>
        <w:suppressAutoHyphens/>
        <w:ind w:left="4253"/>
        <w:jc w:val="both"/>
        <w:rPr>
          <w:spacing w:val="-3"/>
        </w:rPr>
      </w:pPr>
    </w:p>
    <w:p>
      <w:pPr>
        <w:tabs>
          <w:tab w:val="left" w:pos="-720"/>
        </w:tabs>
        <w:suppressAutoHyphens/>
        <w:ind w:left="4253"/>
        <w:jc w:val="both"/>
        <w:rPr>
          <w:spacing w:val="-3"/>
        </w:rPr>
      </w:pPr>
      <w:r>
        <w:rPr>
          <w:spacing w:val="-3"/>
        </w:rPr>
        <w:t>_______________________________</w:t>
      </w:r>
    </w:p>
    <w:p>
      <w:pPr>
        <w:tabs>
          <w:tab w:val="left" w:pos="-720"/>
        </w:tabs>
        <w:suppressAutoHyphens/>
        <w:ind w:left="4253"/>
        <w:jc w:val="both"/>
        <w:outlineLvl w:val="0"/>
        <w:rPr>
          <w:spacing w:val="-3"/>
        </w:rPr>
      </w:pPr>
      <w:r>
        <w:rPr>
          <w:b/>
          <w:spacing w:val="-3"/>
        </w:rPr>
        <w:t>COMMISSIONER FOR OATHS</w:t>
      </w:r>
      <w:r>
        <w:rPr>
          <w:spacing w:val="-3"/>
        </w:rPr>
        <w:t>/</w:t>
      </w:r>
    </w:p>
    <w:p>
      <w:pPr>
        <w:tabs>
          <w:tab w:val="left" w:pos="-720"/>
        </w:tabs>
        <w:suppressAutoHyphens/>
        <w:ind w:left="4253"/>
        <w:jc w:val="both"/>
        <w:outlineLvl w:val="0"/>
        <w:rPr>
          <w:b/>
          <w:spacing w:val="-3"/>
        </w:rPr>
      </w:pPr>
      <w:r>
        <w:rPr>
          <w:b/>
          <w:spacing w:val="-3"/>
        </w:rPr>
        <w:t>PRACTISING SOLICITOR</w:t>
      </w:r>
    </w:p>
    <w:p/>
    <w:sectPr>
      <w:headerReference w:type="default" r:id="rId6"/>
      <w:pgSz w:w="11905" w:h="16837"/>
      <w:pgMar w:top="1701" w:right="1418" w:bottom="1418" w:left="1418" w:header="720" w:footer="851"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after="284" w:line="100" w:lineRule="exact"/>
      <w:rPr>
        <w:rFonts w:ascii="Arial" w:hAnsi="Arial" w:cs="Arial"/>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6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D82FB658-46CA-4259-974B-FD85BD90D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Courier New" w:hAnsi="Courier New" w:cs="Courier New"/>
      <w:sz w:val="20"/>
      <w:szCs w:val="20"/>
    </w:rPr>
  </w:style>
  <w:style w:type="character" w:styleId="EndnoteReference">
    <w:name w:val="endnote reference"/>
    <w:uiPriority w:val="99"/>
    <w:semiHidden/>
    <w:rPr>
      <w:rFonts w:cs="Times New Roman"/>
      <w:vertAlign w:val="superscript"/>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Courier New" w:hAnsi="Courier New" w:cs="Courier New"/>
      <w:sz w:val="20"/>
      <w:szCs w:val="20"/>
    </w:rPr>
  </w:style>
  <w:style w:type="character" w:styleId="FootnoteReference">
    <w:name w:val="footnote reference"/>
    <w:uiPriority w:val="99"/>
    <w:semiHidden/>
    <w:rPr>
      <w:rFonts w:cs="Times New Roman"/>
    </w:rPr>
  </w:style>
  <w:style w:type="character" w:customStyle="1" w:styleId="DefaultParagraphFo">
    <w:name w:val="Default Paragraph Fo"/>
    <w:uiPriority w:val="99"/>
    <w:rPr>
      <w:rFonts w:cs="Times New Roman"/>
    </w:rPr>
  </w:style>
  <w:style w:type="paragraph" w:styleId="BodyText">
    <w:name w:val="Body Text"/>
    <w:basedOn w:val="Normal"/>
    <w:link w:val="BodyTextChar"/>
    <w:uiPriority w:val="99"/>
    <w:pPr>
      <w:tabs>
        <w:tab w:val="left" w:pos="-720"/>
      </w:tabs>
      <w:suppressAutoHyphens/>
      <w:spacing w:line="240" w:lineRule="atLeast"/>
      <w:jc w:val="center"/>
    </w:pPr>
    <w:rPr>
      <w:b/>
      <w:bCs/>
      <w:sz w:val="28"/>
      <w:szCs w:val="28"/>
      <w:lang w:val="en-GB"/>
    </w:rPr>
  </w:style>
  <w:style w:type="character" w:customStyle="1" w:styleId="BodyTextChar">
    <w:name w:val="Body Text Char"/>
    <w:link w:val="BodyText"/>
    <w:uiPriority w:val="99"/>
    <w:semiHidden/>
    <w:locked/>
    <w:rPr>
      <w:rFonts w:ascii="Courier New" w:hAnsi="Courier New" w:cs="Courier New"/>
      <w:sz w:val="24"/>
      <w:szCs w:val="24"/>
    </w:rPr>
  </w:style>
  <w:style w:type="paragraph" w:styleId="Header">
    <w:name w:val="header"/>
    <w:basedOn w:val="Normal"/>
    <w:link w:val="HeaderChar"/>
    <w:uiPriority w:val="99"/>
    <w:pPr>
      <w:tabs>
        <w:tab w:val="left" w:pos="0"/>
        <w:tab w:val="center" w:pos="4152"/>
        <w:tab w:val="right" w:pos="8305"/>
        <w:tab w:val="left" w:pos="8640"/>
      </w:tabs>
      <w:suppressAutoHyphens/>
      <w:spacing w:line="240" w:lineRule="atLeast"/>
    </w:pPr>
    <w:rPr>
      <w:lang w:val="en-US"/>
    </w:rPr>
  </w:style>
  <w:style w:type="character" w:customStyle="1" w:styleId="HeaderChar">
    <w:name w:val="Header Char"/>
    <w:link w:val="Header"/>
    <w:uiPriority w:val="99"/>
    <w:semiHidden/>
    <w:locked/>
    <w:rPr>
      <w:rFonts w:ascii="Courier New" w:hAnsi="Courier New" w:cs="Courier New"/>
      <w:sz w:val="24"/>
      <w:szCs w:val="24"/>
    </w:rPr>
  </w:style>
  <w:style w:type="paragraph" w:styleId="Footer">
    <w:name w:val="footer"/>
    <w:basedOn w:val="Normal"/>
    <w:link w:val="FooterChar"/>
    <w:uiPriority w:val="99"/>
    <w:pPr>
      <w:tabs>
        <w:tab w:val="left" w:pos="0"/>
        <w:tab w:val="center" w:pos="4152"/>
        <w:tab w:val="right" w:pos="8305"/>
        <w:tab w:val="left" w:pos="8640"/>
      </w:tabs>
      <w:suppressAutoHyphens/>
      <w:spacing w:line="240" w:lineRule="atLeast"/>
    </w:pPr>
    <w:rPr>
      <w:lang w:val="en-US"/>
    </w:rPr>
  </w:style>
  <w:style w:type="character" w:customStyle="1" w:styleId="FooterChar">
    <w:name w:val="Footer Char"/>
    <w:link w:val="Footer"/>
    <w:uiPriority w:val="99"/>
    <w:semiHidden/>
    <w:locked/>
    <w:rPr>
      <w:rFonts w:ascii="Courier New" w:hAnsi="Courier New" w:cs="Courier New"/>
      <w:sz w:val="24"/>
      <w:szCs w:val="24"/>
    </w:rPr>
  </w:style>
  <w:style w:type="paragraph" w:styleId="DocumentMap">
    <w:name w:val="Document Map"/>
    <w:basedOn w:val="Normal"/>
    <w:link w:val="DocumentMapChar"/>
    <w:uiPriority w:val="99"/>
    <w:semiHidden/>
    <w:pPr>
      <w:tabs>
        <w:tab w:val="left" w:pos="-720"/>
      </w:tabs>
      <w:suppressAutoHyphens/>
      <w:spacing w:line="240" w:lineRule="atLeast"/>
    </w:pPr>
    <w:rPr>
      <w:rFonts w:ascii="Arial" w:hAnsi="Arial" w:cs="Arial"/>
      <w:lang w:val="en-US"/>
    </w:rPr>
  </w:style>
  <w:style w:type="character" w:customStyle="1" w:styleId="DocumentMapChar">
    <w:name w:val="Document Map Char"/>
    <w:link w:val="DocumentMap"/>
    <w:uiPriority w:val="99"/>
    <w:semiHidden/>
    <w:locked/>
    <w:rPr>
      <w:rFonts w:ascii="Tahoma" w:hAnsi="Tahoma" w:cs="Tahoma"/>
      <w:sz w:val="16"/>
      <w:szCs w:val="16"/>
    </w:rPr>
  </w:style>
  <w:style w:type="paragraph" w:styleId="Title">
    <w:name w:val="Title"/>
    <w:basedOn w:val="Normal"/>
    <w:link w:val="TitleChar"/>
    <w:uiPriority w:val="99"/>
    <w:qFormat/>
    <w:pPr>
      <w:tabs>
        <w:tab w:val="left" w:pos="-720"/>
      </w:tabs>
      <w:suppressAutoHyphens/>
      <w:spacing w:line="240" w:lineRule="atLeast"/>
      <w:jc w:val="center"/>
    </w:pPr>
    <w:rPr>
      <w:b/>
      <w:bCs/>
      <w:sz w:val="28"/>
      <w:szCs w:val="28"/>
      <w:lang w:val="en-GB"/>
    </w:rPr>
  </w:style>
  <w:style w:type="character" w:customStyle="1" w:styleId="TitleChar">
    <w:name w:val="Title Char"/>
    <w:link w:val="Title"/>
    <w:uiPriority w:val="10"/>
    <w:locked/>
    <w:rPr>
      <w:rFonts w:ascii="Cambria" w:eastAsia="Times New Roman" w:hAnsi="Cambria" w:cs="Times New Roman"/>
      <w:b/>
      <w:bCs/>
      <w:kern w:val="28"/>
      <w:sz w:val="32"/>
      <w:szCs w:val="32"/>
    </w:rPr>
  </w:style>
  <w:style w:type="paragraph" w:styleId="TOC1">
    <w:name w:val="toc 1"/>
    <w:basedOn w:val="Normal"/>
    <w:next w:val="Normal"/>
    <w:autoRedefine/>
    <w:uiPriority w:val="99"/>
    <w:semiHidden/>
    <w:pPr>
      <w:tabs>
        <w:tab w:val="right" w:leader="dot" w:pos="9360"/>
      </w:tabs>
      <w:suppressAutoHyphens/>
      <w:spacing w:before="480" w:line="240" w:lineRule="atLeast"/>
      <w:ind w:left="720" w:right="720" w:hanging="720"/>
    </w:pPr>
    <w:rPr>
      <w:lang w:val="en-US"/>
    </w:rPr>
  </w:style>
  <w:style w:type="paragraph" w:styleId="TOC2">
    <w:name w:val="toc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C3">
    <w:name w:val="toc 3"/>
    <w:basedOn w:val="Normal"/>
    <w:next w:val="Normal"/>
    <w:autoRedefine/>
    <w:uiPriority w:val="99"/>
    <w:semiHidden/>
    <w:pPr>
      <w:tabs>
        <w:tab w:val="right" w:leader="dot" w:pos="9360"/>
      </w:tabs>
      <w:suppressAutoHyphens/>
      <w:spacing w:line="240" w:lineRule="atLeast"/>
      <w:ind w:left="2160" w:right="720" w:hanging="720"/>
    </w:pPr>
    <w:rPr>
      <w:lang w:val="en-US"/>
    </w:rPr>
  </w:style>
  <w:style w:type="paragraph" w:styleId="TOC4">
    <w:name w:val="toc 4"/>
    <w:basedOn w:val="Normal"/>
    <w:next w:val="Normal"/>
    <w:autoRedefine/>
    <w:uiPriority w:val="99"/>
    <w:semiHidden/>
    <w:pPr>
      <w:tabs>
        <w:tab w:val="right" w:leader="dot" w:pos="9360"/>
      </w:tabs>
      <w:suppressAutoHyphens/>
      <w:spacing w:line="240" w:lineRule="atLeast"/>
      <w:ind w:left="2880" w:right="720" w:hanging="720"/>
    </w:pPr>
    <w:rPr>
      <w:lang w:val="en-US"/>
    </w:rPr>
  </w:style>
  <w:style w:type="paragraph" w:styleId="TOC5">
    <w:name w:val="toc 5"/>
    <w:basedOn w:val="Normal"/>
    <w:next w:val="Normal"/>
    <w:autoRedefine/>
    <w:uiPriority w:val="99"/>
    <w:semiHidden/>
    <w:pPr>
      <w:tabs>
        <w:tab w:val="right" w:leader="dot" w:pos="9360"/>
      </w:tabs>
      <w:suppressAutoHyphens/>
      <w:spacing w:line="240" w:lineRule="atLeast"/>
      <w:ind w:left="3600" w:right="720" w:hanging="720"/>
    </w:pPr>
    <w:rPr>
      <w:lang w:val="en-US"/>
    </w:rPr>
  </w:style>
  <w:style w:type="paragraph" w:styleId="TOC6">
    <w:name w:val="toc 6"/>
    <w:basedOn w:val="Normal"/>
    <w:next w:val="Normal"/>
    <w:autoRedefine/>
    <w:uiPriority w:val="99"/>
    <w:semiHidden/>
    <w:pPr>
      <w:tabs>
        <w:tab w:val="right" w:pos="9360"/>
      </w:tabs>
      <w:suppressAutoHyphens/>
      <w:spacing w:line="240" w:lineRule="atLeast"/>
      <w:ind w:left="720" w:hanging="720"/>
    </w:pPr>
    <w:rPr>
      <w:lang w:val="en-US"/>
    </w:rPr>
  </w:style>
  <w:style w:type="paragraph" w:styleId="TOC7">
    <w:name w:val="toc 7"/>
    <w:basedOn w:val="Normal"/>
    <w:next w:val="Normal"/>
    <w:autoRedefine/>
    <w:uiPriority w:val="99"/>
    <w:semiHidden/>
    <w:pPr>
      <w:suppressAutoHyphens/>
      <w:spacing w:line="240" w:lineRule="atLeast"/>
      <w:ind w:left="720" w:hanging="720"/>
    </w:pPr>
    <w:rPr>
      <w:lang w:val="en-US"/>
    </w:rPr>
  </w:style>
  <w:style w:type="paragraph" w:styleId="TOC8">
    <w:name w:val="toc 8"/>
    <w:basedOn w:val="Normal"/>
    <w:next w:val="Normal"/>
    <w:autoRedefine/>
    <w:uiPriority w:val="99"/>
    <w:semiHidden/>
    <w:pPr>
      <w:tabs>
        <w:tab w:val="right" w:pos="9360"/>
      </w:tabs>
      <w:suppressAutoHyphens/>
      <w:spacing w:line="240" w:lineRule="atLeast"/>
      <w:ind w:left="720" w:hanging="720"/>
    </w:pPr>
    <w:rPr>
      <w:lang w:val="en-US"/>
    </w:rPr>
  </w:style>
  <w:style w:type="paragraph" w:styleId="TOC9">
    <w:name w:val="toc 9"/>
    <w:basedOn w:val="Normal"/>
    <w:next w:val="Normal"/>
    <w:autoRedefine/>
    <w:uiPriority w:val="99"/>
    <w:semiHidden/>
    <w:pPr>
      <w:tabs>
        <w:tab w:val="right" w:leader="dot" w:pos="9360"/>
      </w:tabs>
      <w:suppressAutoHyphens/>
      <w:spacing w:line="240" w:lineRule="atLeast"/>
      <w:ind w:left="720" w:hanging="720"/>
    </w:pPr>
    <w:rPr>
      <w:lang w:val="en-US"/>
    </w:rPr>
  </w:style>
  <w:style w:type="paragraph" w:styleId="Index1">
    <w:name w:val="index 1"/>
    <w:basedOn w:val="Normal"/>
    <w:next w:val="Normal"/>
    <w:autoRedefine/>
    <w:uiPriority w:val="99"/>
    <w:semiHidden/>
    <w:pPr>
      <w:tabs>
        <w:tab w:val="right" w:leader="dot" w:pos="9360"/>
      </w:tabs>
      <w:suppressAutoHyphens/>
      <w:spacing w:line="240" w:lineRule="atLeast"/>
      <w:ind w:left="1440" w:right="720" w:hanging="1440"/>
    </w:pPr>
    <w:rPr>
      <w:lang w:val="en-US"/>
    </w:rPr>
  </w:style>
  <w:style w:type="paragraph" w:styleId="Index2">
    <w:name w:val="index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AHeading">
    <w:name w:val="toa heading"/>
    <w:basedOn w:val="Normal"/>
    <w:next w:val="Normal"/>
    <w:uiPriority w:val="99"/>
    <w:semiHidden/>
    <w:pPr>
      <w:tabs>
        <w:tab w:val="right" w:pos="9360"/>
      </w:tabs>
      <w:suppressAutoHyphens/>
      <w:spacing w:line="240" w:lineRule="atLeast"/>
    </w:pPr>
    <w:rPr>
      <w:lang w:val="en-US"/>
    </w:rPr>
  </w:style>
  <w:style w:type="paragraph" w:styleId="Caption">
    <w:name w:val="caption"/>
    <w:basedOn w:val="Normal"/>
    <w:next w:val="Normal"/>
    <w:uiPriority w:val="99"/>
    <w:qFormat/>
  </w:style>
  <w:style w:type="character" w:customStyle="1" w:styleId="EquationCaption">
    <w:name w:val="_Equation Caption"/>
    <w:uiPriority w:val="99"/>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styleId="BodyText2">
    <w:name w:val="Body Text 2"/>
    <w:basedOn w:val="Normal"/>
    <w:link w:val="BodyText2Char"/>
    <w:uiPriority w:val="99"/>
    <w:pPr>
      <w:spacing w:after="120" w:line="480" w:lineRule="auto"/>
    </w:pPr>
  </w:style>
  <w:style w:type="character" w:customStyle="1" w:styleId="BodyText2Char">
    <w:name w:val="Body Text 2 Char"/>
    <w:link w:val="BodyText2"/>
    <w:uiPriority w:val="99"/>
    <w:semiHidden/>
    <w:locked/>
    <w:rPr>
      <w:rFonts w:ascii="Courier New"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8050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STATUTORY DECLARATION THAT PROPERTY IS NOT A FAMILY HOME WHERE A HU</vt:lpstr>
    </vt:vector>
  </TitlesOfParts>
  <Company>Law Society</Company>
  <LinksUpToDate>false</LinksUpToDate>
  <CharactersWithSpaces>3043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THAT PROPERTY IS NOT A FAMILY HOME WHERE A HU</dc:title>
  <dc:subject/>
  <dc:creator>THE LAW SOCIETY OF IRELAND</dc:creator>
  <cp:keywords/>
  <dc:description/>
  <cp:lastModifiedBy>Art Kavanagh</cp:lastModifiedBy>
  <cp:revision>6</cp:revision>
  <cp:lastPrinted>2011-04-19T18:17:00Z</cp:lastPrinted>
  <dcterms:created xsi:type="dcterms:W3CDTF">2019-03-04T11:00:00Z</dcterms:created>
  <dcterms:modified xsi:type="dcterms:W3CDTF">2020-07-02T15:26:00Z</dcterms:modified>
</cp:coreProperties>
</file>